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EB" w:rsidRPr="00C30CEB" w:rsidRDefault="00C30CEB" w:rsidP="00C30CEB">
      <w:pPr>
        <w:spacing w:after="0" w:line="259" w:lineRule="auto"/>
        <w:jc w:val="center"/>
        <w:rPr>
          <w:rFonts w:ascii="Times New Roman" w:eastAsia="Calibri" w:hAnsi="Times New Roman" w:cs="Times New Roman"/>
          <w:b/>
          <w:sz w:val="32"/>
          <w:szCs w:val="32"/>
        </w:rPr>
      </w:pPr>
      <w:proofErr w:type="gramStart"/>
      <w:r w:rsidRPr="00C30CEB">
        <w:rPr>
          <w:rFonts w:ascii="Times New Roman" w:eastAsia="Calibri" w:hAnsi="Times New Roman" w:cs="Times New Roman"/>
          <w:b/>
          <w:sz w:val="32"/>
          <w:szCs w:val="32"/>
        </w:rPr>
        <w:t>Préfaces</w:t>
      </w:r>
      <w:proofErr w:type="gramEnd"/>
      <w:r w:rsidRPr="00C30CEB">
        <w:rPr>
          <w:rFonts w:ascii="Times New Roman" w:eastAsia="Calibri" w:hAnsi="Times New Roman" w:cs="Times New Roman"/>
          <w:b/>
          <w:sz w:val="32"/>
          <w:szCs w:val="32"/>
        </w:rPr>
        <w:t xml:space="preserve"> du Temps de Carême</w:t>
      </w:r>
    </w:p>
    <w:p w:rsidR="00C30CEB" w:rsidRDefault="00C30CEB" w:rsidP="00992273">
      <w:pPr>
        <w:spacing w:after="0" w:line="259" w:lineRule="auto"/>
        <w:jc w:val="both"/>
        <w:rPr>
          <w:rFonts w:ascii="Times New Roman" w:eastAsia="Calibri" w:hAnsi="Times New Roman" w:cs="Times New Roman"/>
          <w:b/>
          <w:color w:val="FF0000"/>
          <w:sz w:val="24"/>
        </w:rPr>
      </w:pPr>
      <w:bookmarkStart w:id="0" w:name="_GoBack"/>
      <w:bookmarkEnd w:id="0"/>
    </w:p>
    <w:p w:rsidR="00C30CEB" w:rsidRDefault="00C30CEB" w:rsidP="00992273">
      <w:pPr>
        <w:spacing w:after="0" w:line="259" w:lineRule="auto"/>
        <w:jc w:val="both"/>
        <w:rPr>
          <w:rFonts w:ascii="Times New Roman" w:eastAsia="Calibri" w:hAnsi="Times New Roman" w:cs="Times New Roman"/>
          <w:b/>
          <w:color w:val="FF0000"/>
          <w:sz w:val="24"/>
        </w:rPr>
      </w:pPr>
    </w:p>
    <w:p w:rsidR="00992273" w:rsidRPr="00992273" w:rsidRDefault="00992273" w:rsidP="00992273">
      <w:pPr>
        <w:spacing w:after="0" w:line="259" w:lineRule="auto"/>
        <w:jc w:val="both"/>
        <w:rPr>
          <w:rFonts w:ascii="Times New Roman" w:eastAsia="Calibri" w:hAnsi="Times New Roman" w:cs="Times New Roman"/>
          <w:b/>
          <w:color w:val="FF0000"/>
          <w:sz w:val="24"/>
        </w:rPr>
      </w:pPr>
      <w:r w:rsidRPr="00992273">
        <w:rPr>
          <w:rFonts w:ascii="Times New Roman" w:eastAsia="Calibri" w:hAnsi="Times New Roman" w:cs="Times New Roman"/>
          <w:b/>
          <w:color w:val="FF0000"/>
          <w:sz w:val="24"/>
        </w:rPr>
        <w:t>Préface du Mercredi des Cendres</w:t>
      </w:r>
    </w:p>
    <w:p w:rsidR="00992273" w:rsidRDefault="00992273" w:rsidP="00992273">
      <w:pPr>
        <w:spacing w:after="0" w:line="259" w:lineRule="auto"/>
        <w:jc w:val="both"/>
        <w:rPr>
          <w:rFonts w:ascii="Times New Roman" w:eastAsia="Calibri" w:hAnsi="Times New Roman" w:cs="Times New Roman"/>
          <w:color w:val="000000"/>
          <w:sz w:val="24"/>
        </w:rPr>
      </w:pPr>
      <w:r w:rsidRPr="00992273">
        <w:rPr>
          <w:rFonts w:ascii="Times New Roman" w:eastAsia="Calibri" w:hAnsi="Times New Roman" w:cs="Times New Roman"/>
          <w:b/>
          <w:color w:val="FF0000"/>
          <w:sz w:val="24"/>
        </w:rPr>
        <w:t>D</w:t>
      </w:r>
      <w:r w:rsidRPr="00992273">
        <w:rPr>
          <w:rFonts w:ascii="Times New Roman" w:eastAsia="Calibri" w:hAnsi="Times New Roman" w:cs="Times New Roman"/>
          <w:color w:val="000000"/>
          <w:sz w:val="24"/>
        </w:rPr>
        <w:t>ieu notre Père, nous te chantons, nous te bénissons ! Dans ta tendresse, dans ta miséricorde, tu ne cesses de nous appeler et de nous dire : "Revenez". Ton amour nous est fidèle, et tu veux que notre vie soit ouverte à ta bonté. Dieu notre Père nous te chantons, nous te bénissons ! Ton Fils est au milieu de nous, lui que tu exauces toujours. Tu nous rejoins au plus secret de notre cœur. Tu nous appelles chacun par notre nom. La prière, le partage, le renoncement accomplis pour ton seul regard sont précieux pour toi, et tu les bénis. Tu nous rejoins au plus secret de notre cœur... Et en t'aimant, en aimant nos frères, nous rejoignons Jésus au plus secret de son cœur. Ainsi, vivifiée par son Esprit, monte jusqu'à toi notre louange, en chantant d’une seule voix : Saint !…</w:t>
      </w:r>
    </w:p>
    <w:p w:rsidR="00992273" w:rsidRPr="00992273" w:rsidRDefault="00992273" w:rsidP="00992273">
      <w:pPr>
        <w:spacing w:after="0" w:line="259" w:lineRule="auto"/>
        <w:jc w:val="both"/>
        <w:rPr>
          <w:rFonts w:ascii="Times New Roman" w:eastAsia="Calibri" w:hAnsi="Times New Roman" w:cs="Times New Roman"/>
          <w:color w:val="000000"/>
          <w:sz w:val="16"/>
          <w:szCs w:val="16"/>
        </w:rPr>
      </w:pPr>
    </w:p>
    <w:p w:rsidR="00992273" w:rsidRDefault="00992273" w:rsidP="00992273">
      <w:pPr>
        <w:spacing w:after="0" w:line="259" w:lineRule="auto"/>
        <w:jc w:val="both"/>
        <w:rPr>
          <w:rFonts w:ascii="Times New Roman" w:eastAsia="Calibri" w:hAnsi="Times New Roman" w:cs="Times New Roman"/>
          <w:color w:val="000000"/>
          <w:sz w:val="24"/>
        </w:rPr>
      </w:pPr>
      <w:proofErr w:type="gramStart"/>
      <w:r>
        <w:rPr>
          <w:rFonts w:ascii="Times New Roman" w:eastAsia="Calibri" w:hAnsi="Times New Roman" w:cs="Times New Roman"/>
          <w:color w:val="000000"/>
          <w:sz w:val="24"/>
        </w:rPr>
        <w:t>o</w:t>
      </w:r>
      <w:r w:rsidRPr="00992273">
        <w:rPr>
          <w:rFonts w:ascii="Times New Roman" w:eastAsia="Calibri" w:hAnsi="Times New Roman" w:cs="Times New Roman"/>
          <w:color w:val="000000"/>
          <w:sz w:val="24"/>
        </w:rPr>
        <w:t>u</w:t>
      </w:r>
      <w:proofErr w:type="gramEnd"/>
    </w:p>
    <w:p w:rsidR="00992273" w:rsidRPr="00992273" w:rsidRDefault="00992273" w:rsidP="00992273">
      <w:pPr>
        <w:spacing w:after="0" w:line="259" w:lineRule="auto"/>
        <w:jc w:val="both"/>
        <w:rPr>
          <w:rFonts w:ascii="Times New Roman" w:eastAsia="Calibri" w:hAnsi="Times New Roman" w:cs="Times New Roman"/>
          <w:color w:val="000000"/>
          <w:sz w:val="16"/>
          <w:szCs w:val="16"/>
        </w:rPr>
      </w:pPr>
    </w:p>
    <w:p w:rsidR="00992273" w:rsidRDefault="00992273" w:rsidP="00992273">
      <w:pPr>
        <w:spacing w:after="0" w:line="259" w:lineRule="auto"/>
        <w:jc w:val="both"/>
        <w:rPr>
          <w:rFonts w:ascii="Times New Roman" w:eastAsia="Calibri" w:hAnsi="Times New Roman" w:cs="Times New Roman"/>
          <w:color w:val="000000"/>
          <w:sz w:val="24"/>
        </w:rPr>
      </w:pPr>
      <w:r w:rsidRPr="00992273">
        <w:rPr>
          <w:rFonts w:ascii="Times New Roman" w:eastAsia="Calibri" w:hAnsi="Times New Roman" w:cs="Times New Roman"/>
          <w:b/>
          <w:color w:val="FF0000"/>
          <w:sz w:val="24"/>
        </w:rPr>
        <w:t>V</w:t>
      </w:r>
      <w:r w:rsidRPr="00992273">
        <w:rPr>
          <w:rFonts w:ascii="Times New Roman" w:eastAsia="Calibri" w:hAnsi="Times New Roman" w:cs="Times New Roman"/>
          <w:color w:val="000000"/>
          <w:sz w:val="24"/>
        </w:rPr>
        <w:t>raiment, il est juste et il est bon de te glorifier, Dieu de sainteté, car tu appelles ton Église et chacun de nous à la conversion. Tu veux que le jeûne nous rende plus forts, tu entends notre prière la plus secrète, et tu bénis ceux qui s'ouvrent au partage. Ainsi tu nous apprends à vivre tendus vers la célébration de Pâques. C'est pourquoi, avec tous nos frères croyants, nous proclamons ta gloire en chantant : Saint !...</w:t>
      </w:r>
    </w:p>
    <w:p w:rsidR="00992273" w:rsidRPr="00992273" w:rsidRDefault="00992273" w:rsidP="00992273">
      <w:pPr>
        <w:spacing w:after="0" w:line="259" w:lineRule="auto"/>
        <w:jc w:val="both"/>
        <w:rPr>
          <w:rFonts w:ascii="Times New Roman" w:eastAsia="Calibri" w:hAnsi="Times New Roman" w:cs="Times New Roman"/>
          <w:color w:val="000000"/>
          <w:sz w:val="16"/>
          <w:szCs w:val="16"/>
        </w:rPr>
      </w:pPr>
    </w:p>
    <w:p w:rsidR="00992273" w:rsidRPr="00992273" w:rsidRDefault="00992273" w:rsidP="00992273">
      <w:pPr>
        <w:spacing w:after="0" w:line="259" w:lineRule="auto"/>
        <w:jc w:val="both"/>
        <w:rPr>
          <w:rFonts w:ascii="Times New Roman" w:eastAsia="Calibri" w:hAnsi="Times New Roman" w:cs="Times New Roman"/>
          <w:color w:val="000000"/>
          <w:sz w:val="24"/>
        </w:rPr>
      </w:pPr>
      <w:proofErr w:type="gramStart"/>
      <w:r w:rsidRPr="00992273">
        <w:rPr>
          <w:rFonts w:ascii="Times New Roman" w:eastAsia="Calibri" w:hAnsi="Times New Roman" w:cs="Times New Roman"/>
          <w:color w:val="000000"/>
          <w:sz w:val="24"/>
        </w:rPr>
        <w:t>ou</w:t>
      </w:r>
      <w:proofErr w:type="gramEnd"/>
    </w:p>
    <w:p w:rsidR="00992273" w:rsidRPr="00992273" w:rsidRDefault="00992273" w:rsidP="00992273">
      <w:pPr>
        <w:spacing w:after="0" w:line="259" w:lineRule="auto"/>
        <w:jc w:val="both"/>
        <w:rPr>
          <w:rFonts w:ascii="Times New Roman" w:eastAsia="Calibri" w:hAnsi="Times New Roman" w:cs="Times New Roman"/>
          <w:color w:val="000000"/>
          <w:sz w:val="16"/>
          <w:szCs w:val="16"/>
        </w:rPr>
      </w:pPr>
    </w:p>
    <w:p w:rsidR="00992273" w:rsidRDefault="00992273" w:rsidP="00992273">
      <w:pPr>
        <w:spacing w:after="0" w:line="259" w:lineRule="auto"/>
        <w:jc w:val="both"/>
        <w:rPr>
          <w:rFonts w:ascii="Times New Roman" w:eastAsia="Calibri" w:hAnsi="Times New Roman" w:cs="Times New Roman"/>
          <w:b/>
          <w:color w:val="000000"/>
          <w:sz w:val="24"/>
        </w:rPr>
      </w:pPr>
      <w:r w:rsidRPr="00992273">
        <w:rPr>
          <w:rFonts w:ascii="Times New Roman" w:eastAsia="Calibri" w:hAnsi="Times New Roman" w:cs="Times New Roman"/>
          <w:b/>
          <w:color w:val="FF0000"/>
          <w:sz w:val="24"/>
        </w:rPr>
        <w:t>À</w:t>
      </w:r>
      <w:r w:rsidRPr="00992273">
        <w:rPr>
          <w:rFonts w:ascii="Times New Roman" w:eastAsia="Calibri" w:hAnsi="Times New Roman" w:cs="Times New Roman"/>
          <w:color w:val="000000"/>
          <w:sz w:val="24"/>
        </w:rPr>
        <w:t xml:space="preserve"> toi notre louange, ô Père, car tu veux faire de nous des vivants, capables de vivre en enfants de lumière, et tu nous donnes pour Maître et Sauveur ton Fils bien-aimé. Sa parole d’amour et sa vie livrée nous appellent à revenir à toi de tout notre cœur. Aujourd’hui retentit son appel : c’est maintenant le jour du salut ! C’est pourquoi, d’un même cœur et avec toute l’Église, nous te rendons grâce, et nous proclamons ta gloire en chantant : Saint !…</w:t>
      </w:r>
    </w:p>
    <w:p w:rsidR="00992273" w:rsidRPr="00992273" w:rsidRDefault="00992273" w:rsidP="00992273">
      <w:pPr>
        <w:spacing w:after="0" w:line="259" w:lineRule="auto"/>
        <w:jc w:val="both"/>
        <w:rPr>
          <w:rFonts w:ascii="Times New Roman" w:eastAsia="Calibri" w:hAnsi="Times New Roman" w:cs="Times New Roman"/>
          <w:color w:val="000000"/>
          <w:sz w:val="24"/>
        </w:rPr>
      </w:pPr>
    </w:p>
    <w:p w:rsidR="00992273" w:rsidRPr="00C30CEB" w:rsidRDefault="00992273" w:rsidP="00992273">
      <w:pPr>
        <w:spacing w:after="0" w:line="259" w:lineRule="auto"/>
        <w:jc w:val="both"/>
        <w:rPr>
          <w:rFonts w:ascii="Times New Roman" w:eastAsia="Calibri" w:hAnsi="Times New Roman" w:cs="Times New Roman"/>
          <w:b/>
          <w:color w:val="FF0000"/>
          <w:sz w:val="24"/>
        </w:rPr>
      </w:pPr>
      <w:r w:rsidRPr="00C30CEB">
        <w:rPr>
          <w:rFonts w:ascii="Times New Roman" w:eastAsia="Calibri" w:hAnsi="Times New Roman" w:cs="Times New Roman"/>
          <w:b/>
          <w:bCs/>
          <w:color w:val="FF0000"/>
          <w:sz w:val="24"/>
        </w:rPr>
        <w:t>Carême I</w:t>
      </w:r>
    </w:p>
    <w:p w:rsidR="00992273" w:rsidRPr="00C30CEB" w:rsidRDefault="00992273" w:rsidP="00992273">
      <w:pPr>
        <w:spacing w:after="0" w:line="259" w:lineRule="auto"/>
        <w:jc w:val="both"/>
        <w:rPr>
          <w:rFonts w:ascii="Times New Roman" w:eastAsia="Calibri" w:hAnsi="Times New Roman" w:cs="Times New Roman"/>
          <w:smallCaps/>
          <w:sz w:val="24"/>
        </w:rPr>
      </w:pPr>
      <w:r w:rsidRPr="00C30CEB">
        <w:rPr>
          <w:rFonts w:ascii="Times New Roman" w:eastAsia="Calibri" w:hAnsi="Times New Roman" w:cs="Times New Roman"/>
          <w:bCs/>
          <w:iCs/>
          <w:smallCaps/>
          <w:sz w:val="24"/>
        </w:rPr>
        <w:t>Signification spirituelle du Carême</w:t>
      </w:r>
    </w:p>
    <w:p w:rsidR="00992273" w:rsidRDefault="00992273" w:rsidP="00992273">
      <w:pPr>
        <w:spacing w:after="0" w:line="259" w:lineRule="auto"/>
        <w:jc w:val="both"/>
        <w:rPr>
          <w:rFonts w:ascii="Times New Roman" w:eastAsia="Calibri" w:hAnsi="Times New Roman" w:cs="Times New Roman"/>
          <w:sz w:val="24"/>
        </w:rPr>
      </w:pPr>
      <w:r w:rsidRPr="003A70F3">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notre-Seigneur. Car chaque année, tu accordes aux chrétiens de se préparer aux fêtes pascales dans la joie d’un cœur purifié ; de sorte qu’en se donnant davantage à la prière, en témoignant plus d’amour pour le prochain, fidèles aux sacrements qui les ont fait renaître, ils soient comblés de la grâce que tu réserves à tes fils. C’est pourquoi, avec les anges et tous les saints, nous proclamons ta gloire, en chantant (disant) d’une seule voix : Saint !...</w:t>
      </w:r>
    </w:p>
    <w:p w:rsidR="00992273" w:rsidRPr="00992273" w:rsidRDefault="00992273" w:rsidP="00992273">
      <w:pPr>
        <w:spacing w:after="0" w:line="259" w:lineRule="auto"/>
        <w:jc w:val="both"/>
        <w:rPr>
          <w:rFonts w:ascii="Times New Roman" w:eastAsia="Calibri" w:hAnsi="Times New Roman" w:cs="Times New Roman"/>
          <w:sz w:val="16"/>
          <w:szCs w:val="16"/>
        </w:rPr>
      </w:pPr>
    </w:p>
    <w:p w:rsidR="00992273" w:rsidRPr="00992273" w:rsidRDefault="00992273" w:rsidP="00992273">
      <w:pPr>
        <w:spacing w:after="0" w:line="259" w:lineRule="auto"/>
        <w:jc w:val="both"/>
        <w:rPr>
          <w:rFonts w:ascii="Times New Roman" w:eastAsia="Calibri" w:hAnsi="Times New Roman" w:cs="Times New Roman"/>
          <w:sz w:val="24"/>
        </w:rPr>
      </w:pPr>
      <w:proofErr w:type="gramStart"/>
      <w:r w:rsidRPr="00992273">
        <w:rPr>
          <w:rFonts w:ascii="Times New Roman" w:eastAsia="Calibri" w:hAnsi="Times New Roman" w:cs="Times New Roman"/>
          <w:bCs/>
          <w:sz w:val="24"/>
        </w:rPr>
        <w:t>ou</w:t>
      </w:r>
      <w:proofErr w:type="gramEnd"/>
    </w:p>
    <w:p w:rsidR="00992273" w:rsidRPr="00992273" w:rsidRDefault="00992273" w:rsidP="00992273">
      <w:pPr>
        <w:spacing w:after="0" w:line="259" w:lineRule="auto"/>
        <w:jc w:val="both"/>
        <w:rPr>
          <w:rFonts w:ascii="Times New Roman" w:eastAsia="Calibri" w:hAnsi="Times New Roman" w:cs="Times New Roman"/>
          <w:sz w:val="16"/>
          <w:szCs w:val="16"/>
        </w:rPr>
      </w:pPr>
    </w:p>
    <w:p w:rsidR="00992273" w:rsidRDefault="00992273" w:rsidP="00992273">
      <w:pPr>
        <w:spacing w:after="0" w:line="259" w:lineRule="auto"/>
        <w:jc w:val="both"/>
        <w:rPr>
          <w:rFonts w:ascii="Times New Roman" w:eastAsia="Calibri" w:hAnsi="Times New Roman" w:cs="Times New Roman"/>
          <w:sz w:val="24"/>
        </w:rPr>
      </w:pPr>
      <w:r w:rsidRPr="003A70F3">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 Seigneur. En jeûnant quarante jours au désert, il consacrait le temps du carême ; lorsqu'il déjouait les pièges du Tentateur, il nous apprenait à résister au péché, pour célébrer d'un cœur pur le mystère pascal, et parvenir enfin à la Pâque éternelle. C'est pourquoi, avec tous les anges et tous les saints, nous chantons l'hymne de ta gloire et nous proclamons : Saint !...</w:t>
      </w:r>
    </w:p>
    <w:p w:rsidR="00992273" w:rsidRPr="00992273" w:rsidRDefault="00992273" w:rsidP="00992273">
      <w:pPr>
        <w:spacing w:after="0" w:line="259" w:lineRule="auto"/>
        <w:jc w:val="both"/>
        <w:rPr>
          <w:rFonts w:ascii="Times New Roman" w:eastAsia="Calibri" w:hAnsi="Times New Roman" w:cs="Times New Roman"/>
          <w:b/>
          <w:color w:val="FF0000"/>
          <w:sz w:val="24"/>
        </w:rPr>
      </w:pPr>
      <w:r w:rsidRPr="00992273">
        <w:rPr>
          <w:rFonts w:ascii="Times New Roman" w:eastAsia="Calibri" w:hAnsi="Times New Roman" w:cs="Times New Roman"/>
          <w:b/>
          <w:bCs/>
          <w:color w:val="FF0000"/>
          <w:sz w:val="24"/>
        </w:rPr>
        <w:t>Carême II</w:t>
      </w:r>
    </w:p>
    <w:p w:rsidR="00992273" w:rsidRPr="00C30CEB" w:rsidRDefault="00992273" w:rsidP="00992273">
      <w:pPr>
        <w:spacing w:after="0" w:line="259" w:lineRule="auto"/>
        <w:jc w:val="both"/>
        <w:rPr>
          <w:rFonts w:ascii="Times New Roman" w:eastAsia="Calibri" w:hAnsi="Times New Roman" w:cs="Times New Roman"/>
          <w:bCs/>
          <w:iCs/>
          <w:smallCaps/>
          <w:sz w:val="24"/>
        </w:rPr>
      </w:pPr>
      <w:r w:rsidRPr="00C30CEB">
        <w:rPr>
          <w:rFonts w:ascii="Times New Roman" w:eastAsia="Calibri" w:hAnsi="Times New Roman" w:cs="Times New Roman"/>
          <w:bCs/>
          <w:iCs/>
          <w:smallCaps/>
          <w:sz w:val="24"/>
        </w:rPr>
        <w:t>Le Carême, temps de conversion</w:t>
      </w: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Tu offres à tes enfants ce temps de grâce pour qu’ils retrouvent la pureté du cœur ; tu veux qu’ils se libèrent de leurs égoïsmes, afin qu’en travaillant à ce monde qui passe, ils s’attachent surtout aux choses qui ne passent pas. C’est pourquoi, avec les anges et tous les saints, nous chantons et proclamons : Saint !...</w:t>
      </w:r>
    </w:p>
    <w:p w:rsidR="00DE378A" w:rsidRPr="00DE378A" w:rsidRDefault="00DE378A" w:rsidP="00992273">
      <w:pPr>
        <w:spacing w:after="0" w:line="259" w:lineRule="auto"/>
        <w:jc w:val="both"/>
        <w:rPr>
          <w:rFonts w:ascii="Times New Roman" w:eastAsia="Calibri" w:hAnsi="Times New Roman" w:cs="Times New Roman"/>
          <w:sz w:val="16"/>
          <w:szCs w:val="16"/>
        </w:rPr>
      </w:pPr>
    </w:p>
    <w:p w:rsidR="00992273" w:rsidRPr="00992273" w:rsidRDefault="00992273" w:rsidP="00992273">
      <w:pPr>
        <w:spacing w:after="0" w:line="259" w:lineRule="auto"/>
        <w:jc w:val="both"/>
        <w:rPr>
          <w:rFonts w:ascii="Times New Roman" w:eastAsia="Calibri" w:hAnsi="Times New Roman" w:cs="Times New Roman"/>
          <w:sz w:val="24"/>
        </w:rPr>
      </w:pPr>
      <w:proofErr w:type="gramStart"/>
      <w:r w:rsidRPr="00992273">
        <w:rPr>
          <w:rFonts w:ascii="Times New Roman" w:eastAsia="Calibri" w:hAnsi="Times New Roman" w:cs="Times New Roman"/>
          <w:bCs/>
          <w:sz w:val="24"/>
        </w:rPr>
        <w:t>ou</w:t>
      </w:r>
      <w:proofErr w:type="gramEnd"/>
    </w:p>
    <w:p w:rsidR="00DE378A" w:rsidRPr="00DE378A" w:rsidRDefault="00DE378A" w:rsidP="00992273">
      <w:pPr>
        <w:spacing w:after="0" w:line="259" w:lineRule="auto"/>
        <w:jc w:val="both"/>
        <w:rPr>
          <w:rFonts w:ascii="Times New Roman" w:eastAsia="Calibri" w:hAnsi="Times New Roman" w:cs="Times New Roman"/>
          <w:sz w:val="16"/>
          <w:szCs w:val="16"/>
        </w:rPr>
      </w:pP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 Seigneur. Après avoir prédit sa mort à ses disciples, il les mena sur la montagne sainte ; en présence de Moïse et du prophète Elie, il leur a manifesté sa splendeur : il nous révélait ainsi que sa passion le conduirait á la gloire de la Résurrection. C'est pourquoi, avec les anges dans le ciel, nous pouvons te bénir sur la terre et t'adorer en (disant) chantant : Saint !...</w:t>
      </w:r>
    </w:p>
    <w:p w:rsidR="00992273" w:rsidRPr="00992273" w:rsidRDefault="00992273" w:rsidP="00992273">
      <w:pPr>
        <w:spacing w:after="0" w:line="259" w:lineRule="auto"/>
        <w:jc w:val="both"/>
        <w:rPr>
          <w:rFonts w:ascii="Times New Roman" w:eastAsia="Calibri" w:hAnsi="Times New Roman" w:cs="Times New Roman"/>
          <w:sz w:val="24"/>
        </w:rPr>
      </w:pPr>
    </w:p>
    <w:p w:rsidR="00992273" w:rsidRPr="00992273" w:rsidRDefault="00992273" w:rsidP="00992273">
      <w:pPr>
        <w:spacing w:after="0" w:line="259" w:lineRule="auto"/>
        <w:jc w:val="both"/>
        <w:rPr>
          <w:rFonts w:ascii="Times New Roman" w:eastAsia="Calibri" w:hAnsi="Times New Roman" w:cs="Times New Roman"/>
          <w:b/>
          <w:color w:val="FF0000"/>
          <w:sz w:val="24"/>
        </w:rPr>
      </w:pPr>
      <w:r w:rsidRPr="00992273">
        <w:rPr>
          <w:rFonts w:ascii="Times New Roman" w:eastAsia="Calibri" w:hAnsi="Times New Roman" w:cs="Times New Roman"/>
          <w:b/>
          <w:bCs/>
          <w:color w:val="FF0000"/>
          <w:sz w:val="24"/>
        </w:rPr>
        <w:t>Carême III</w:t>
      </w:r>
    </w:p>
    <w:p w:rsidR="00992273" w:rsidRPr="00C30CEB" w:rsidRDefault="00992273" w:rsidP="00992273">
      <w:pPr>
        <w:spacing w:after="0" w:line="259" w:lineRule="auto"/>
        <w:jc w:val="both"/>
        <w:rPr>
          <w:rFonts w:ascii="Times New Roman" w:eastAsia="Calibri" w:hAnsi="Times New Roman" w:cs="Times New Roman"/>
          <w:bCs/>
          <w:iCs/>
          <w:smallCaps/>
          <w:sz w:val="24"/>
        </w:rPr>
      </w:pPr>
      <w:r w:rsidRPr="00C30CEB">
        <w:rPr>
          <w:rFonts w:ascii="Times New Roman" w:eastAsia="Calibri" w:hAnsi="Times New Roman" w:cs="Times New Roman"/>
          <w:bCs/>
          <w:iCs/>
          <w:smallCaps/>
          <w:sz w:val="24"/>
        </w:rPr>
        <w:t>Les motivations de la pénitence</w:t>
      </w: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Tu accueilles nos pénitences comme une offrande à ta gloire ; car nos privations, tout en abaissant notre orgueil, nous invitent à imiter ta miséricorde et à partager avec ceux qui ont faim. C’est pourquoi, avec les anges et tous les saints, nous proclamons ta gloire, en chantant (disant) d’une seule voix : Saint !...</w:t>
      </w:r>
    </w:p>
    <w:p w:rsidR="00DE378A" w:rsidRPr="00DE378A" w:rsidRDefault="00DE378A" w:rsidP="00992273">
      <w:pPr>
        <w:spacing w:after="0" w:line="259" w:lineRule="auto"/>
        <w:jc w:val="both"/>
        <w:rPr>
          <w:rFonts w:ascii="Times New Roman" w:eastAsia="Calibri" w:hAnsi="Times New Roman" w:cs="Times New Roman"/>
          <w:sz w:val="16"/>
          <w:szCs w:val="16"/>
        </w:rPr>
      </w:pPr>
    </w:p>
    <w:p w:rsidR="00992273" w:rsidRPr="00992273" w:rsidRDefault="00992273" w:rsidP="00992273">
      <w:pPr>
        <w:spacing w:after="0" w:line="259" w:lineRule="auto"/>
        <w:jc w:val="both"/>
        <w:rPr>
          <w:rFonts w:ascii="Times New Roman" w:eastAsia="Calibri" w:hAnsi="Times New Roman" w:cs="Times New Roman"/>
          <w:sz w:val="24"/>
        </w:rPr>
      </w:pPr>
      <w:proofErr w:type="gramStart"/>
      <w:r w:rsidRPr="00992273">
        <w:rPr>
          <w:rFonts w:ascii="Times New Roman" w:eastAsia="Calibri" w:hAnsi="Times New Roman" w:cs="Times New Roman"/>
          <w:bCs/>
          <w:sz w:val="24"/>
        </w:rPr>
        <w:t>ou</w:t>
      </w:r>
      <w:proofErr w:type="gramEnd"/>
    </w:p>
    <w:p w:rsidR="00DE378A" w:rsidRPr="00DE378A" w:rsidRDefault="00DE378A" w:rsidP="00992273">
      <w:pPr>
        <w:spacing w:after="0" w:line="259" w:lineRule="auto"/>
        <w:jc w:val="both"/>
        <w:rPr>
          <w:rFonts w:ascii="Times New Roman" w:eastAsia="Calibri" w:hAnsi="Times New Roman" w:cs="Times New Roman"/>
          <w:sz w:val="16"/>
          <w:szCs w:val="16"/>
        </w:rPr>
      </w:pP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 Seigneur. En demandant à la Samaritaine de lui donner à boire, Jésus faisait à cette femme le don de la foi. Il avait un si grand désir d'éveiller la foi dans son cœur, qu'il fit naître en elle l'amour même de Dieu. Voilà pourquoi le ciel et la terre t’adorent ; ils te chantent leur hymne toujours nouvelle, et nous-mêmes, unissant notre voix à celle des anges, nous t’acclamons : Saint !...</w:t>
      </w:r>
    </w:p>
    <w:p w:rsidR="00992273" w:rsidRPr="00992273" w:rsidRDefault="00992273" w:rsidP="00992273">
      <w:pPr>
        <w:spacing w:after="0" w:line="259" w:lineRule="auto"/>
        <w:jc w:val="both"/>
        <w:rPr>
          <w:rFonts w:ascii="Times New Roman" w:eastAsia="Calibri" w:hAnsi="Times New Roman" w:cs="Times New Roman"/>
          <w:sz w:val="24"/>
        </w:rPr>
      </w:pPr>
    </w:p>
    <w:p w:rsidR="00992273" w:rsidRPr="00992273" w:rsidRDefault="00992273" w:rsidP="00992273">
      <w:pPr>
        <w:spacing w:after="0" w:line="259" w:lineRule="auto"/>
        <w:jc w:val="both"/>
        <w:rPr>
          <w:rFonts w:ascii="Times New Roman" w:eastAsia="Calibri" w:hAnsi="Times New Roman" w:cs="Times New Roman"/>
          <w:b/>
          <w:color w:val="FF0000"/>
          <w:sz w:val="24"/>
        </w:rPr>
      </w:pPr>
      <w:r w:rsidRPr="00992273">
        <w:rPr>
          <w:rFonts w:ascii="Times New Roman" w:eastAsia="Calibri" w:hAnsi="Times New Roman" w:cs="Times New Roman"/>
          <w:b/>
          <w:bCs/>
          <w:color w:val="FF0000"/>
          <w:sz w:val="24"/>
        </w:rPr>
        <w:t>Carême IV</w:t>
      </w:r>
    </w:p>
    <w:p w:rsidR="00992273" w:rsidRPr="00C30CEB" w:rsidRDefault="00992273" w:rsidP="00992273">
      <w:pPr>
        <w:spacing w:after="0" w:line="259" w:lineRule="auto"/>
        <w:jc w:val="both"/>
        <w:rPr>
          <w:rFonts w:ascii="Times New Roman" w:eastAsia="Calibri" w:hAnsi="Times New Roman" w:cs="Times New Roman"/>
          <w:bCs/>
          <w:iCs/>
          <w:smallCaps/>
          <w:sz w:val="24"/>
        </w:rPr>
      </w:pPr>
      <w:r w:rsidRPr="00C30CEB">
        <w:rPr>
          <w:rFonts w:ascii="Times New Roman" w:eastAsia="Calibri" w:hAnsi="Times New Roman" w:cs="Times New Roman"/>
          <w:bCs/>
          <w:iCs/>
          <w:smallCaps/>
          <w:sz w:val="24"/>
        </w:rPr>
        <w:t>Les effets du Carême</w:t>
      </w: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Car tu veux, par notre jeûne et nos privations, réprimer nos penchants mauvais, élever nos esprits, nous donner la force et enfin la récompense, par le Christ, notre Seigneur. Par lui, avec les anges et tous les saints, nous chantons l’hymne de ta gloire et sans fin nous proclamons : Saint !...</w:t>
      </w:r>
    </w:p>
    <w:p w:rsidR="00DE378A" w:rsidRPr="00DE378A" w:rsidRDefault="00DE378A" w:rsidP="00992273">
      <w:pPr>
        <w:spacing w:after="0" w:line="259" w:lineRule="auto"/>
        <w:jc w:val="both"/>
        <w:rPr>
          <w:rFonts w:ascii="Times New Roman" w:eastAsia="Calibri" w:hAnsi="Times New Roman" w:cs="Times New Roman"/>
          <w:sz w:val="16"/>
          <w:szCs w:val="16"/>
        </w:rPr>
      </w:pPr>
    </w:p>
    <w:p w:rsidR="00992273" w:rsidRPr="00992273" w:rsidRDefault="00992273" w:rsidP="00992273">
      <w:pPr>
        <w:spacing w:after="0" w:line="259" w:lineRule="auto"/>
        <w:jc w:val="both"/>
        <w:rPr>
          <w:rFonts w:ascii="Times New Roman" w:eastAsia="Calibri" w:hAnsi="Times New Roman" w:cs="Times New Roman"/>
          <w:sz w:val="24"/>
        </w:rPr>
      </w:pPr>
      <w:proofErr w:type="gramStart"/>
      <w:r w:rsidRPr="00992273">
        <w:rPr>
          <w:rFonts w:ascii="Times New Roman" w:eastAsia="Calibri" w:hAnsi="Times New Roman" w:cs="Times New Roman"/>
          <w:bCs/>
          <w:sz w:val="24"/>
        </w:rPr>
        <w:t>ou</w:t>
      </w:r>
      <w:proofErr w:type="gramEnd"/>
    </w:p>
    <w:p w:rsidR="00DE378A" w:rsidRDefault="00DE378A">
      <w:pPr>
        <w:rPr>
          <w:rFonts w:ascii="Times New Roman" w:eastAsia="Calibri" w:hAnsi="Times New Roman" w:cs="Times New Roman"/>
          <w:sz w:val="16"/>
          <w:szCs w:val="16"/>
        </w:rPr>
      </w:pPr>
      <w:r>
        <w:rPr>
          <w:rFonts w:ascii="Times New Roman" w:eastAsia="Calibri" w:hAnsi="Times New Roman" w:cs="Times New Roman"/>
          <w:sz w:val="16"/>
          <w:szCs w:val="16"/>
        </w:rPr>
        <w:br w:type="page"/>
      </w: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 Seigneur. En prenant la condition humaine, il a guidé vers la lumière de la foi l'humanité qui s'en allait dans les ténèbres ; et par le bain qui fait renaître, il a donné aux hommes, nés dans le péché, de devenir vraiment fils de Dieu. Voilà pourquoi le ciel et la terre t’adorent ; ils te chantent leur hymne toujours nouvelle, et nous-mêmes, unissant notre voix à celle des anges, nous t’acclamons : Saint !...</w:t>
      </w:r>
    </w:p>
    <w:p w:rsidR="00992273" w:rsidRPr="00992273" w:rsidRDefault="00992273" w:rsidP="00992273">
      <w:pPr>
        <w:spacing w:after="0" w:line="259" w:lineRule="auto"/>
        <w:jc w:val="both"/>
        <w:rPr>
          <w:rFonts w:ascii="Times New Roman" w:eastAsia="Calibri" w:hAnsi="Times New Roman" w:cs="Times New Roman"/>
          <w:sz w:val="24"/>
        </w:rPr>
      </w:pPr>
    </w:p>
    <w:p w:rsidR="00992273" w:rsidRPr="00C30CEB" w:rsidRDefault="00992273" w:rsidP="00992273">
      <w:pPr>
        <w:spacing w:after="0" w:line="259" w:lineRule="auto"/>
        <w:jc w:val="both"/>
        <w:rPr>
          <w:rFonts w:ascii="Times New Roman" w:eastAsia="Calibri" w:hAnsi="Times New Roman" w:cs="Times New Roman"/>
          <w:b/>
          <w:color w:val="FF0000"/>
          <w:sz w:val="24"/>
        </w:rPr>
      </w:pPr>
      <w:r w:rsidRPr="00C30CEB">
        <w:rPr>
          <w:rFonts w:ascii="Times New Roman" w:eastAsia="Calibri" w:hAnsi="Times New Roman" w:cs="Times New Roman"/>
          <w:b/>
          <w:bCs/>
          <w:color w:val="FF0000"/>
          <w:sz w:val="24"/>
        </w:rPr>
        <w:t>Carême V</w:t>
      </w:r>
    </w:p>
    <w:p w:rsidR="00DE378A" w:rsidRPr="003A70F3" w:rsidRDefault="00DE378A" w:rsidP="00992273">
      <w:pPr>
        <w:spacing w:after="0" w:line="259" w:lineRule="auto"/>
        <w:jc w:val="both"/>
        <w:rPr>
          <w:rFonts w:ascii="Times New Roman" w:eastAsia="Calibri" w:hAnsi="Times New Roman" w:cs="Times New Roman"/>
          <w:smallCaps/>
          <w:sz w:val="24"/>
        </w:rPr>
      </w:pPr>
      <w:r w:rsidRPr="003A70F3">
        <w:rPr>
          <w:rFonts w:ascii="Times New Roman" w:eastAsia="Calibri" w:hAnsi="Times New Roman" w:cs="Times New Roman"/>
          <w:smallCaps/>
          <w:sz w:val="24"/>
        </w:rPr>
        <w:t>Puissance de la Croix</w:t>
      </w:r>
    </w:p>
    <w:p w:rsidR="00992273" w:rsidRDefault="00992273"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992273">
        <w:rPr>
          <w:rFonts w:ascii="Times New Roman" w:eastAsia="Calibri" w:hAnsi="Times New Roman" w:cs="Times New Roman"/>
          <w:sz w:val="24"/>
        </w:rPr>
        <w:t>raiment, il est juste et bon de te rendre gloire, de t'offrir notre action de grâce, toujours et en tout lieu, à toi, Père très saint, Dieu éternel et tout-puissant, par le Christ, notre Seigneur. Il est cet homme plein d'humanité qui a pleuré sur son ami Lazare ; il est Dieu, le Dieu éternel qui fit sortir le mort de son tombeau : ainsi, dans sa tendresse pour tous les hommes, il nous conduit, par les mystères de sa Pâque, jusqu'à la vie nouvelle. C'est par lui que les anges assemblés devant toi adorent ta sainteté ; laisse donc nos voix se joindre à leur louange pour chanter et proclamer : Saint !...</w:t>
      </w:r>
    </w:p>
    <w:p w:rsidR="00DE378A" w:rsidRPr="00DE378A" w:rsidRDefault="00DE378A" w:rsidP="00992273">
      <w:pPr>
        <w:spacing w:after="0" w:line="259" w:lineRule="auto"/>
        <w:jc w:val="both"/>
        <w:rPr>
          <w:rFonts w:ascii="Times New Roman" w:eastAsia="Calibri" w:hAnsi="Times New Roman" w:cs="Times New Roman"/>
          <w:sz w:val="16"/>
          <w:szCs w:val="16"/>
        </w:rPr>
      </w:pPr>
    </w:p>
    <w:p w:rsidR="00DE378A" w:rsidRDefault="00DE378A" w:rsidP="00992273">
      <w:pPr>
        <w:spacing w:after="0" w:line="259"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ou</w:t>
      </w:r>
      <w:proofErr w:type="gramEnd"/>
    </w:p>
    <w:p w:rsidR="00DE378A" w:rsidRPr="00DE378A" w:rsidRDefault="00DE378A" w:rsidP="00992273">
      <w:pPr>
        <w:spacing w:after="0" w:line="259" w:lineRule="auto"/>
        <w:jc w:val="both"/>
        <w:rPr>
          <w:rFonts w:ascii="Times New Roman" w:eastAsia="Calibri" w:hAnsi="Times New Roman" w:cs="Times New Roman"/>
          <w:sz w:val="16"/>
          <w:szCs w:val="16"/>
        </w:rPr>
      </w:pPr>
    </w:p>
    <w:p w:rsidR="00DE378A" w:rsidRPr="00992273" w:rsidRDefault="00DE378A" w:rsidP="00992273">
      <w:pPr>
        <w:spacing w:after="0" w:line="259" w:lineRule="auto"/>
        <w:jc w:val="both"/>
        <w:rPr>
          <w:rFonts w:ascii="Times New Roman" w:eastAsia="Calibri" w:hAnsi="Times New Roman" w:cs="Times New Roman"/>
          <w:sz w:val="24"/>
        </w:rPr>
      </w:pPr>
      <w:r w:rsidRPr="00DE378A">
        <w:rPr>
          <w:rFonts w:ascii="Times New Roman" w:eastAsia="Calibri" w:hAnsi="Times New Roman" w:cs="Times New Roman"/>
          <w:b/>
          <w:color w:val="FF0000"/>
          <w:sz w:val="24"/>
        </w:rPr>
        <w:t>V</w:t>
      </w:r>
      <w:r w:rsidRPr="00DE378A">
        <w:rPr>
          <w:rFonts w:ascii="Times New Roman" w:eastAsia="Calibri" w:hAnsi="Times New Roman" w:cs="Times New Roman"/>
          <w:sz w:val="24"/>
        </w:rPr>
        <w:t>raiment, il est juste et bon de te rendre gloire, de t’offrir notre action de grâce, toujours et en tout lieu, à toi, Père très saint, Dieu éternel et tout-puissant. Oui, l’univers entier, sauvé par la Passion de ton Fils, peut désormais confesser ta gloire : par la puissance de la croix apparaît en pleine lumière le jugement du monde, la victoire du crucifié. C’est pourquoi, avec les anges et tous les saints, nous proclamons ta gloire, en chantant (disant) d’une seule voix : Saint !...</w:t>
      </w:r>
    </w:p>
    <w:sectPr w:rsidR="00DE378A" w:rsidRPr="009922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876CA"/>
    <w:multiLevelType w:val="hybridMultilevel"/>
    <w:tmpl w:val="F0A0E902"/>
    <w:lvl w:ilvl="0" w:tplc="0F184B5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73"/>
    <w:rsid w:val="003A70F3"/>
    <w:rsid w:val="00992273"/>
    <w:rsid w:val="00C30CEB"/>
    <w:rsid w:val="00DB41EB"/>
    <w:rsid w:val="00DE3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D1535-947B-4832-9A23-7A822864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1EDF-7A57-4875-AB27-3A8B0F7A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96</TotalTime>
  <Pages>3</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Alquier</cp:lastModifiedBy>
  <cp:revision>1</cp:revision>
  <dcterms:created xsi:type="dcterms:W3CDTF">2020-09-22T06:32:00Z</dcterms:created>
  <dcterms:modified xsi:type="dcterms:W3CDTF">2020-09-22T08:10:00Z</dcterms:modified>
</cp:coreProperties>
</file>