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01" w:rsidRPr="00AC2C01" w:rsidRDefault="00AC2C01" w:rsidP="00AC2C01">
      <w:pPr>
        <w:spacing w:after="0" w:line="259" w:lineRule="auto"/>
        <w:jc w:val="center"/>
        <w:rPr>
          <w:rFonts w:ascii="Times New Roman" w:eastAsia="Calibri" w:hAnsi="Times New Roman" w:cs="Times New Roman"/>
          <w:color w:val="000000"/>
          <w:sz w:val="32"/>
          <w:szCs w:val="32"/>
        </w:rPr>
      </w:pPr>
      <w:r w:rsidRPr="00AC2C01">
        <w:rPr>
          <w:rFonts w:ascii="Times New Roman" w:eastAsia="Calibri" w:hAnsi="Times New Roman" w:cs="Times New Roman"/>
          <w:color w:val="000000"/>
          <w:sz w:val="32"/>
          <w:szCs w:val="32"/>
        </w:rPr>
        <w:t xml:space="preserve">Préfaces à </w:t>
      </w:r>
      <w:r w:rsidR="007B60D5">
        <w:rPr>
          <w:rFonts w:ascii="Times New Roman" w:eastAsia="Calibri" w:hAnsi="Times New Roman" w:cs="Times New Roman"/>
          <w:color w:val="000000"/>
          <w:sz w:val="32"/>
          <w:szCs w:val="32"/>
        </w:rPr>
        <w:t xml:space="preserve">la Vierge </w:t>
      </w:r>
      <w:r w:rsidRPr="00AC2C01">
        <w:rPr>
          <w:rFonts w:ascii="Times New Roman" w:eastAsia="Calibri" w:hAnsi="Times New Roman" w:cs="Times New Roman"/>
          <w:color w:val="000000"/>
          <w:sz w:val="32"/>
          <w:szCs w:val="32"/>
        </w:rPr>
        <w:t>Marie</w:t>
      </w:r>
    </w:p>
    <w:p w:rsidR="00AC2C01" w:rsidRDefault="00AC2C01" w:rsidP="0044692D">
      <w:pPr>
        <w:spacing w:after="0" w:line="259" w:lineRule="auto"/>
        <w:jc w:val="both"/>
        <w:rPr>
          <w:rFonts w:ascii="Times New Roman" w:eastAsia="Calibri" w:hAnsi="Times New Roman" w:cs="Times New Roman"/>
          <w:color w:val="000000"/>
          <w:sz w:val="24"/>
        </w:rPr>
      </w:pPr>
    </w:p>
    <w:p w:rsidR="00AC2C01" w:rsidRDefault="00AC2C01" w:rsidP="0044692D">
      <w:pPr>
        <w:spacing w:after="0" w:line="259" w:lineRule="auto"/>
        <w:jc w:val="both"/>
        <w:rPr>
          <w:rFonts w:ascii="Times New Roman" w:eastAsia="Calibri" w:hAnsi="Times New Roman" w:cs="Times New Roman"/>
          <w:color w:val="000000"/>
          <w:sz w:val="24"/>
        </w:rPr>
      </w:pPr>
    </w:p>
    <w:p w:rsidR="0044692D" w:rsidRPr="00AC2C01" w:rsidRDefault="0044692D" w:rsidP="0044692D">
      <w:pPr>
        <w:spacing w:after="0" w:line="259" w:lineRule="auto"/>
        <w:jc w:val="both"/>
        <w:rPr>
          <w:rFonts w:ascii="Times New Roman" w:eastAsia="Calibri" w:hAnsi="Times New Roman" w:cs="Times New Roman"/>
          <w:b/>
          <w:color w:val="FF0000"/>
          <w:sz w:val="24"/>
        </w:rPr>
      </w:pPr>
      <w:r w:rsidRPr="00AC2C01">
        <w:rPr>
          <w:rFonts w:ascii="Times New Roman" w:eastAsia="Calibri" w:hAnsi="Times New Roman" w:cs="Times New Roman"/>
          <w:b/>
          <w:color w:val="FF0000"/>
          <w:sz w:val="24"/>
        </w:rPr>
        <w:t>Vierge Marie I</w:t>
      </w:r>
    </w:p>
    <w:p w:rsidR="0044692D" w:rsidRPr="00AC2C01" w:rsidRDefault="0044692D" w:rsidP="0044692D">
      <w:pPr>
        <w:spacing w:after="0" w:line="259" w:lineRule="auto"/>
        <w:jc w:val="both"/>
        <w:rPr>
          <w:rFonts w:ascii="Times New Roman" w:eastAsia="Calibri" w:hAnsi="Times New Roman" w:cs="Times New Roman"/>
          <w:smallCaps/>
          <w:color w:val="000000"/>
          <w:sz w:val="24"/>
        </w:rPr>
      </w:pPr>
      <w:r w:rsidRPr="00AC2C01">
        <w:rPr>
          <w:rFonts w:ascii="Times New Roman" w:eastAsia="Calibri" w:hAnsi="Times New Roman" w:cs="Times New Roman"/>
          <w:smallCaps/>
          <w:color w:val="000000"/>
          <w:sz w:val="24"/>
        </w:rPr>
        <w:t>La maternité divine de Marie</w:t>
      </w:r>
      <w:bookmarkStart w:id="0" w:name="_GoBack"/>
      <w:bookmarkEnd w:id="0"/>
    </w:p>
    <w:p w:rsidR="0044692D" w:rsidRPr="004206B1" w:rsidRDefault="0044692D" w:rsidP="0044692D">
      <w:pPr>
        <w:spacing w:after="0" w:line="259" w:lineRule="auto"/>
        <w:jc w:val="both"/>
        <w:rPr>
          <w:rFonts w:ascii="Times New Roman" w:eastAsia="Calibri" w:hAnsi="Times New Roman" w:cs="Times New Roman"/>
          <w:color w:val="000000"/>
          <w:sz w:val="24"/>
        </w:rPr>
      </w:pPr>
      <w:r w:rsidRPr="005B2FEC">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En ce jour, (où nous célébrons la mémoire de la bienheureuse Vierge Marie :) où nous honorons la bienheureuse Vierge Marie : nous voulons te chanter, te bénir et te glorifier. Car elle a conçu ton Fils unique lorsque le Saint-Esprit la couvrit de son ombre, et, gardant pour toujours la gloire de sa virginité, elle a donné au monde la lumière éternelle, Jésus Christ, notre Seigneur. Par lui avec les anges et tous les saints, nous chantons l’hymne de ta gloire et sans fin nous proclamons : Saint !...</w:t>
      </w:r>
    </w:p>
    <w:p w:rsidR="0044692D" w:rsidRPr="004206B1" w:rsidRDefault="0044692D" w:rsidP="0044692D">
      <w:pPr>
        <w:spacing w:after="0" w:line="259" w:lineRule="auto"/>
        <w:jc w:val="both"/>
        <w:rPr>
          <w:rFonts w:ascii="Times New Roman" w:eastAsia="Calibri" w:hAnsi="Times New Roman" w:cs="Times New Roman"/>
          <w:color w:val="000000"/>
          <w:sz w:val="24"/>
        </w:rPr>
      </w:pPr>
    </w:p>
    <w:p w:rsidR="0044692D" w:rsidRPr="00AC2C01" w:rsidRDefault="0044692D" w:rsidP="0044692D">
      <w:pPr>
        <w:spacing w:after="0" w:line="259" w:lineRule="auto"/>
        <w:jc w:val="both"/>
        <w:rPr>
          <w:rFonts w:ascii="Times New Roman" w:eastAsia="Calibri" w:hAnsi="Times New Roman" w:cs="Times New Roman"/>
          <w:b/>
          <w:color w:val="FF0000"/>
          <w:sz w:val="24"/>
        </w:rPr>
      </w:pPr>
      <w:r w:rsidRPr="00AC2C01">
        <w:rPr>
          <w:rFonts w:ascii="Times New Roman" w:eastAsia="Calibri" w:hAnsi="Times New Roman" w:cs="Times New Roman"/>
          <w:b/>
          <w:color w:val="FF0000"/>
          <w:sz w:val="24"/>
        </w:rPr>
        <w:t>Vierge Marie II</w:t>
      </w:r>
    </w:p>
    <w:p w:rsidR="0044692D" w:rsidRPr="00AC2C01" w:rsidRDefault="0044692D" w:rsidP="0044692D">
      <w:pPr>
        <w:spacing w:after="0" w:line="259" w:lineRule="auto"/>
        <w:jc w:val="both"/>
        <w:rPr>
          <w:rFonts w:ascii="Times New Roman" w:eastAsia="Calibri" w:hAnsi="Times New Roman" w:cs="Times New Roman"/>
          <w:smallCaps/>
          <w:color w:val="000000"/>
          <w:sz w:val="24"/>
        </w:rPr>
      </w:pPr>
      <w:r w:rsidRPr="00AC2C01">
        <w:rPr>
          <w:rFonts w:ascii="Times New Roman" w:eastAsia="Calibri" w:hAnsi="Times New Roman" w:cs="Times New Roman"/>
          <w:smallCaps/>
          <w:color w:val="000000"/>
          <w:sz w:val="24"/>
        </w:rPr>
        <w:t>L’Église fait écho à l’action de grâce de Marie</w:t>
      </w:r>
    </w:p>
    <w:p w:rsidR="0044692D" w:rsidRPr="004206B1" w:rsidRDefault="0044692D" w:rsidP="0044692D">
      <w:pPr>
        <w:spacing w:after="0" w:line="259" w:lineRule="auto"/>
        <w:jc w:val="both"/>
        <w:rPr>
          <w:rFonts w:ascii="Times New Roman" w:eastAsia="Calibri" w:hAnsi="Times New Roman" w:cs="Times New Roman"/>
          <w:color w:val="000000"/>
          <w:sz w:val="24"/>
        </w:rPr>
      </w:pPr>
      <w:r w:rsidRPr="005B2FEC">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Père très saint, il est bon de reconnaître ta gloire dans le triomphe de tes élus, et, pour fêter la Vierge Marie, de reprendre son cantique d’action de grâce : oui, tu as étendu ta miséricorde à tous les âges et révélé tes merveilles à la terre entière, en choisissant ton humble servante pour donner au monde un Sauveur, ton Fils, le Seigneur Jésus Christ. C’est par lui que les anges, assemblés devant toi, adorent ta gloire ; à leur hymne de louange, laisse-nous joindre nos voix pour chanter avec la Vierge Marie : Saint !...</w:t>
      </w:r>
    </w:p>
    <w:p w:rsidR="0044692D" w:rsidRPr="004206B1" w:rsidRDefault="0044692D" w:rsidP="0044692D">
      <w:pPr>
        <w:spacing w:after="0" w:line="259" w:lineRule="auto"/>
        <w:jc w:val="both"/>
        <w:rPr>
          <w:rFonts w:ascii="Times New Roman" w:eastAsia="Calibri" w:hAnsi="Times New Roman" w:cs="Times New Roman"/>
          <w:color w:val="000000"/>
          <w:sz w:val="24"/>
        </w:rPr>
      </w:pPr>
    </w:p>
    <w:p w:rsidR="0044692D" w:rsidRPr="00AC2C01" w:rsidRDefault="0044692D" w:rsidP="0044692D">
      <w:pPr>
        <w:spacing w:after="0" w:line="259" w:lineRule="auto"/>
        <w:jc w:val="both"/>
        <w:rPr>
          <w:rFonts w:ascii="Times New Roman" w:eastAsia="Calibri" w:hAnsi="Times New Roman" w:cs="Times New Roman"/>
          <w:b/>
          <w:color w:val="FF0000"/>
          <w:sz w:val="24"/>
        </w:rPr>
      </w:pPr>
      <w:r w:rsidRPr="00AC2C01">
        <w:rPr>
          <w:rFonts w:ascii="Times New Roman" w:eastAsia="Calibri" w:hAnsi="Times New Roman" w:cs="Times New Roman"/>
          <w:b/>
          <w:color w:val="FF0000"/>
          <w:sz w:val="24"/>
        </w:rPr>
        <w:t>Marie, mère de l’Église</w:t>
      </w:r>
    </w:p>
    <w:p w:rsidR="0044692D" w:rsidRPr="004206B1" w:rsidRDefault="0044692D" w:rsidP="0044692D">
      <w:pPr>
        <w:spacing w:after="0" w:line="259" w:lineRule="auto"/>
        <w:jc w:val="both"/>
        <w:rPr>
          <w:rFonts w:ascii="Times New Roman" w:eastAsia="Calibri" w:hAnsi="Times New Roman" w:cs="Times New Roman"/>
          <w:color w:val="000000"/>
          <w:sz w:val="24"/>
        </w:rPr>
      </w:pPr>
      <w:r w:rsidRPr="005B2FEC">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rendre gloire, de t’offrir notre action de grâce, toujours et en tout lieu, à toi, Père très saint, Dieu éternel et tout-puissant. Pour célébrer la Vierge Marie, c’est à toi que s’adressent nos louanges. En accueillant ta parole dans un cœur immaculé, elle a mérité de la concevoir dans son sein virginal. En donnant naissance à son Créateur, elle a préparé les commencements de l’Église. En recevant au pied de la croix le testament d’amour de son Fils, elle a reçu pour fils tous les hommes que la mort du Christ a fait naître à la vie divine. Quand les Apôtres attendaient l’Esprit qui leur était promis, elle a joint sa supplication à celle des disciples, devenant ainsi le modèle de l’Église en prière. Élevée dans la gloire du Ciel, elle accompagne et protège l’Église de son amour maternel dans sa marche vers la patrie, jusqu’au jour de la venue glorieuse du Seigneur. C’est pourquoi, avec tous les anges et tous les saints, nous chantons l’hymne de ta gloire et sans fin nous proclamons : Saint !...</w:t>
      </w:r>
    </w:p>
    <w:p w:rsidR="0044692D" w:rsidRPr="004206B1" w:rsidRDefault="0044692D" w:rsidP="0044692D">
      <w:pPr>
        <w:spacing w:after="0" w:line="259" w:lineRule="auto"/>
        <w:jc w:val="both"/>
        <w:rPr>
          <w:rFonts w:ascii="Times New Roman" w:eastAsia="Calibri" w:hAnsi="Times New Roman" w:cs="Times New Roman"/>
          <w:color w:val="000000"/>
          <w:sz w:val="24"/>
        </w:rPr>
      </w:pPr>
    </w:p>
    <w:p w:rsidR="0044692D" w:rsidRPr="00AC2C01" w:rsidRDefault="0044692D" w:rsidP="0044692D">
      <w:pPr>
        <w:spacing w:after="0" w:line="259" w:lineRule="auto"/>
        <w:jc w:val="both"/>
        <w:rPr>
          <w:rFonts w:ascii="Times New Roman" w:eastAsia="Calibri" w:hAnsi="Times New Roman" w:cs="Times New Roman"/>
          <w:b/>
          <w:color w:val="FF0000"/>
          <w:sz w:val="24"/>
        </w:rPr>
      </w:pPr>
      <w:r w:rsidRPr="00AC2C01">
        <w:rPr>
          <w:rFonts w:ascii="Times New Roman" w:eastAsia="Calibri" w:hAnsi="Times New Roman" w:cs="Times New Roman"/>
          <w:b/>
          <w:color w:val="FF0000"/>
          <w:sz w:val="24"/>
        </w:rPr>
        <w:t>Immaculée Conception</w:t>
      </w:r>
    </w:p>
    <w:p w:rsidR="0044692D" w:rsidRPr="004206B1" w:rsidRDefault="0044692D" w:rsidP="0044692D">
      <w:pPr>
        <w:spacing w:after="0" w:line="259" w:lineRule="auto"/>
        <w:jc w:val="both"/>
        <w:rPr>
          <w:rFonts w:ascii="Times New Roman" w:eastAsia="Calibri" w:hAnsi="Times New Roman" w:cs="Times New Roman"/>
          <w:color w:val="000000"/>
          <w:sz w:val="24"/>
        </w:rPr>
      </w:pPr>
      <w:r w:rsidRPr="005B2FEC">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par le Christ, notre Seigneur. Car tu as préservé la Vierge Marie de toutes les séquelles du premier péché, et tu l’as comblée de grâce pour préparer à ton Fils une mère vraiment digne de lui ; en elle, tu préfigurais l’Église, la fiancée sans ride, sans tâche, resplendissante de beauté. Cette vierge pure devait nous donner le Sauveur, l’Agneau immaculé qui enlève nos fautes. Choisie entre toutes les femmes, elle intervient en faveur de ton peuple et demeure pour lui l’idéal de la sainteté. C’est pourquoi, avec tous les anges du ciel, pleins de joie, nous (disons) chantons : Saint !...</w:t>
      </w:r>
    </w:p>
    <w:p w:rsidR="0044692D" w:rsidRPr="004206B1" w:rsidRDefault="0044692D" w:rsidP="0044692D">
      <w:pPr>
        <w:spacing w:after="0" w:line="259" w:lineRule="auto"/>
        <w:jc w:val="both"/>
        <w:rPr>
          <w:rFonts w:ascii="Times New Roman" w:eastAsia="Calibri" w:hAnsi="Times New Roman" w:cs="Times New Roman"/>
          <w:color w:val="000000"/>
          <w:sz w:val="24"/>
        </w:rPr>
      </w:pPr>
    </w:p>
    <w:p w:rsidR="0044692D" w:rsidRPr="00AC2C01" w:rsidRDefault="0044692D" w:rsidP="0044692D">
      <w:pPr>
        <w:spacing w:after="0" w:line="259" w:lineRule="auto"/>
        <w:jc w:val="both"/>
        <w:rPr>
          <w:rFonts w:ascii="Times New Roman" w:eastAsia="Calibri" w:hAnsi="Times New Roman" w:cs="Times New Roman"/>
          <w:b/>
          <w:color w:val="FF0000"/>
          <w:sz w:val="24"/>
        </w:rPr>
      </w:pPr>
      <w:r w:rsidRPr="00AC2C01">
        <w:rPr>
          <w:rFonts w:ascii="Times New Roman" w:eastAsia="Calibri" w:hAnsi="Times New Roman" w:cs="Times New Roman"/>
          <w:b/>
          <w:color w:val="FF0000"/>
          <w:sz w:val="24"/>
        </w:rPr>
        <w:t>Assomption</w:t>
      </w:r>
    </w:p>
    <w:p w:rsidR="0044692D" w:rsidRPr="004206B1" w:rsidRDefault="0044692D" w:rsidP="0044692D">
      <w:pPr>
        <w:spacing w:after="0" w:line="259" w:lineRule="auto"/>
        <w:jc w:val="both"/>
        <w:rPr>
          <w:rFonts w:ascii="Times New Roman" w:eastAsia="Calibri" w:hAnsi="Times New Roman" w:cs="Times New Roman"/>
          <w:color w:val="000000"/>
          <w:sz w:val="24"/>
        </w:rPr>
      </w:pPr>
      <w:r w:rsidRPr="005B2FEC">
        <w:rPr>
          <w:rFonts w:ascii="Times New Roman" w:eastAsia="Calibri" w:hAnsi="Times New Roman" w:cs="Times New Roman"/>
          <w:b/>
          <w:color w:val="FF0000"/>
          <w:sz w:val="24"/>
        </w:rPr>
        <w:t>V</w:t>
      </w:r>
      <w:r w:rsidRPr="004206B1">
        <w:rPr>
          <w:rFonts w:ascii="Times New Roman" w:eastAsia="Calibri" w:hAnsi="Times New Roman" w:cs="Times New Roman"/>
          <w:color w:val="000000"/>
          <w:sz w:val="24"/>
        </w:rPr>
        <w:t>raiment, il est juste et bon de te rendre gloire, de t'offrir notre action de grâce, toujours et en tout lieu, à toi, Père très saint, Dieu éternel et tout-puissant, par le Christ, notre Seigneur. Aujourd'hui la Vierge Marie, la Mère de Dieu, est élevée dans la gloire du ciel : parfaite image de l'Église à venir, aurore de l'Église triomphante, elle guide et soutient l'espérance de ton peuple encore en chemin. Tu as préservé de la dégradation du tombeau le corps qui avait porté ton propre Fils et mis au monde l'auteur de la vie. C'est pourquoi, avec tous les anges du ciel, pleins de joie, nous (disons) chantons : Saint !...</w:t>
      </w:r>
    </w:p>
    <w:sectPr w:rsidR="0044692D" w:rsidRPr="004206B1" w:rsidSect="00AC2C01">
      <w:pgSz w:w="11906" w:h="16838"/>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2D"/>
    <w:rsid w:val="00373F81"/>
    <w:rsid w:val="0044692D"/>
    <w:rsid w:val="005B2FEC"/>
    <w:rsid w:val="007B60D5"/>
    <w:rsid w:val="00AC2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7A871-54C5-481F-BFE6-7E6E3D14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2D"/>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39</TotalTime>
  <Pages>1</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 Alquier</cp:lastModifiedBy>
  <cp:revision>4</cp:revision>
  <dcterms:created xsi:type="dcterms:W3CDTF">2020-09-22T12:54:00Z</dcterms:created>
  <dcterms:modified xsi:type="dcterms:W3CDTF">2020-09-22T19:11:00Z</dcterms:modified>
</cp:coreProperties>
</file>